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13E5510C"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5FFA">
        <w:rPr>
          <w:rFonts w:ascii="游ゴシック" w:eastAsia="游ゴシック" w:hAnsi="游ゴシック" w:hint="eastAsia"/>
          <w:b/>
          <w:sz w:val="24"/>
          <w:szCs w:val="24"/>
        </w:rPr>
        <w:t>連結会計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26FA3691" w14:textId="77777777" w:rsidR="00200E51" w:rsidRDefault="00200E51" w:rsidP="00200E51">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680C2148" w14:textId="77777777" w:rsidR="00200E51" w:rsidRDefault="00200E51" w:rsidP="00200E51">
      <w:pPr>
        <w:topLinePunct/>
        <w:rPr>
          <w:rFonts w:ascii="游ゴシック" w:eastAsia="游ゴシック" w:hAnsi="游ゴシック"/>
          <w:szCs w:val="21"/>
        </w:rPr>
      </w:pPr>
    </w:p>
    <w:p w14:paraId="3465B860" w14:textId="77777777" w:rsidR="00200E51" w:rsidRDefault="00200E51" w:rsidP="00200E51">
      <w:pPr>
        <w:pStyle w:val="af0"/>
        <w:numPr>
          <w:ilvl w:val="0"/>
          <w:numId w:val="29"/>
        </w:numPr>
        <w:topLinePunct/>
        <w:ind w:leftChars="0"/>
        <w:rPr>
          <w:rFonts w:ascii="游ゴシック" w:eastAsia="游ゴシック" w:hAnsi="游ゴシック"/>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3D5EFFF6" w14:textId="77777777" w:rsidR="00200E51" w:rsidRDefault="00200E51" w:rsidP="00200E51">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有形固定資産･･････････････････････････････取得原価</w:t>
      </w:r>
    </w:p>
    <w:p w14:paraId="008E45FB"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ただし、開始時の評価基準及び評価方法については、次のとおりです。</w:t>
      </w:r>
    </w:p>
    <w:p w14:paraId="6D1F57D7" w14:textId="77777777" w:rsidR="00200E51" w:rsidRDefault="00200E51" w:rsidP="00200E51">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昭和59年度以前に取得したもの･･･････････再調達原価</w:t>
      </w:r>
    </w:p>
    <w:p w14:paraId="6679D302"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ただし、道路、河川及び水路の敷地は備忘価額1円としています。</w:t>
      </w:r>
    </w:p>
    <w:p w14:paraId="6AA0DB80" w14:textId="77777777" w:rsidR="00200E51" w:rsidRDefault="00200E51" w:rsidP="00200E51">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昭和60年度以後に取得したもの</w:t>
      </w:r>
    </w:p>
    <w:p w14:paraId="3811AD4B" w14:textId="77777777" w:rsidR="00200E51" w:rsidRDefault="00200E51" w:rsidP="00200E51">
      <w:pPr>
        <w:topLinePunct/>
        <w:ind w:left="1260" w:hangingChars="600" w:hanging="1260"/>
        <w:rPr>
          <w:rFonts w:ascii="游ゴシック" w:eastAsia="游ゴシック" w:hAnsi="游ゴシック"/>
          <w:szCs w:val="21"/>
        </w:rPr>
      </w:pPr>
      <w:r>
        <w:rPr>
          <w:rFonts w:ascii="游ゴシック" w:eastAsia="游ゴシック" w:hAnsi="游ゴシック" w:hint="eastAsia"/>
          <w:szCs w:val="21"/>
        </w:rPr>
        <w:t xml:space="preserve">　　　　取得原価が判明しているもの････････････････取得原価　　　　　　　</w:t>
      </w:r>
    </w:p>
    <w:p w14:paraId="1931F063" w14:textId="77777777" w:rsidR="00200E51" w:rsidRDefault="00200E51" w:rsidP="00200E51">
      <w:pPr>
        <w:topLinePunct/>
        <w:ind w:leftChars="300" w:left="1260" w:hangingChars="300" w:hanging="630"/>
        <w:rPr>
          <w:rFonts w:ascii="游ゴシック" w:eastAsia="游ゴシック" w:hAnsi="游ゴシック"/>
          <w:szCs w:val="21"/>
        </w:rPr>
      </w:pPr>
      <w:r>
        <w:rPr>
          <w:rFonts w:ascii="游ゴシック" w:eastAsia="游ゴシック" w:hAnsi="游ゴシック" w:hint="eastAsia"/>
          <w:szCs w:val="21"/>
        </w:rPr>
        <w:t xml:space="preserve">　取得原価が不明なもの･･････････････････････再調達原価</w:t>
      </w:r>
    </w:p>
    <w:p w14:paraId="2BDFCD26"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ただし、取得原価が不明な道路、河川及び水路の敷地は備忘価額1円としています。</w:t>
      </w:r>
    </w:p>
    <w:p w14:paraId="43CDF3B6" w14:textId="77777777" w:rsidR="00200E51" w:rsidRDefault="00200E51" w:rsidP="00200E51">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無形固定資産･･････････････････････････････取得原価</w:t>
      </w:r>
    </w:p>
    <w:p w14:paraId="4F0B5CD7"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ただし、開始時の評価基準及び評価方法については、次のとおりです。</w:t>
      </w:r>
    </w:p>
    <w:p w14:paraId="01F58824"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取得原価が判明しているもの････････････････取得原価</w:t>
      </w:r>
    </w:p>
    <w:p w14:paraId="43746CFF"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取得原価が不明なもの･･････････････････････再調達原価</w:t>
      </w:r>
    </w:p>
    <w:p w14:paraId="64865B03" w14:textId="77777777" w:rsidR="00200E51" w:rsidRDefault="00200E51" w:rsidP="00200E51">
      <w:pPr>
        <w:topLinePunct/>
        <w:ind w:firstLineChars="100" w:firstLine="210"/>
        <w:rPr>
          <w:rFonts w:ascii="游ゴシック" w:eastAsia="游ゴシック" w:hAnsi="游ゴシック"/>
          <w:szCs w:val="21"/>
        </w:rPr>
      </w:pPr>
    </w:p>
    <w:p w14:paraId="115E73E9"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有価証券及び出資金の評価基準及び評価方法</w:t>
      </w:r>
    </w:p>
    <w:p w14:paraId="6F9161BF"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満期保有目的有価証券･･････････････････････償却原価法（定額法）</w:t>
      </w:r>
    </w:p>
    <w:p w14:paraId="375FCDC1"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満期保有目的以外の有価証券</w:t>
      </w:r>
    </w:p>
    <w:p w14:paraId="71653835" w14:textId="77777777" w:rsidR="00200E51" w:rsidRDefault="00200E51" w:rsidP="00200E51">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市場価格のあるもの･･････････････････････会計年度末における市場価格（売却原価は移動平均法により算定）</w:t>
      </w:r>
    </w:p>
    <w:p w14:paraId="532A33F3" w14:textId="77777777" w:rsidR="00200E51" w:rsidRDefault="00200E51" w:rsidP="00200E51">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市場価格のないもの･･････････････････････取得原価（又は償却原価法（定額法））</w:t>
      </w:r>
    </w:p>
    <w:p w14:paraId="1517E44C"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出資金</w:t>
      </w:r>
    </w:p>
    <w:p w14:paraId="509DE41E" w14:textId="77777777" w:rsidR="00200E51" w:rsidRDefault="00200E51" w:rsidP="00200E51">
      <w:pPr>
        <w:pStyle w:val="af0"/>
        <w:numPr>
          <w:ilvl w:val="0"/>
          <w:numId w:val="34"/>
        </w:numPr>
        <w:topLinePunct/>
        <w:ind w:leftChars="0"/>
        <w:rPr>
          <w:rFonts w:ascii="游ゴシック" w:eastAsia="游ゴシック" w:hAnsi="游ゴシック"/>
          <w:b/>
          <w:szCs w:val="21"/>
        </w:rPr>
      </w:pPr>
      <w:r>
        <w:rPr>
          <w:rFonts w:ascii="游ゴシック" w:eastAsia="游ゴシック" w:hAnsi="游ゴシック" w:hint="eastAsia"/>
          <w:szCs w:val="21"/>
        </w:rPr>
        <w:t>市場価格のあるもの･･････････････････････会計年度末における市場価格（売却原価は移動平均法により算定）</w:t>
      </w:r>
    </w:p>
    <w:p w14:paraId="544528B1" w14:textId="77777777" w:rsidR="00200E51" w:rsidRDefault="00200E51" w:rsidP="00200E51">
      <w:pPr>
        <w:pStyle w:val="af0"/>
        <w:numPr>
          <w:ilvl w:val="0"/>
          <w:numId w:val="34"/>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市場価格のないもの･･････････････････････出資金額</w:t>
      </w:r>
    </w:p>
    <w:p w14:paraId="7C36E750" w14:textId="77777777" w:rsidR="00200E51" w:rsidRDefault="00200E51" w:rsidP="00200E51">
      <w:pPr>
        <w:topLinePunct/>
        <w:ind w:firstLineChars="400" w:firstLine="840"/>
        <w:rPr>
          <w:rFonts w:ascii="游ゴシック" w:eastAsia="游ゴシック" w:hAnsi="游ゴシック"/>
          <w:b/>
          <w:szCs w:val="21"/>
        </w:rPr>
      </w:pPr>
    </w:p>
    <w:p w14:paraId="6154E02C"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有形固定資産等の減価償却の方法</w:t>
      </w:r>
    </w:p>
    <w:p w14:paraId="1028D86C"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有形固定資産（リース資産を除きます）･････････定額法</w:t>
      </w:r>
    </w:p>
    <w:p w14:paraId="0A0351F2"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なお、主な耐用年数は以下のとおりです。</w:t>
      </w:r>
    </w:p>
    <w:p w14:paraId="3C6B78EC"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建物　　　8年～50年</w:t>
      </w:r>
    </w:p>
    <w:p w14:paraId="020ABE92"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工作物　　8年～75年</w:t>
      </w:r>
    </w:p>
    <w:p w14:paraId="713D896E"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物品　　　4年～15年</w:t>
      </w:r>
    </w:p>
    <w:p w14:paraId="60CE291D"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無形固定資産（リース資産を除きます）･････････定額法</w:t>
      </w:r>
    </w:p>
    <w:p w14:paraId="600C1A85" w14:textId="77777777" w:rsidR="00200E51" w:rsidRDefault="00200E51" w:rsidP="00200E51">
      <w:pPr>
        <w:rPr>
          <w:rFonts w:ascii="游ゴシック" w:eastAsia="游ゴシック" w:hAnsi="游ゴシック"/>
          <w:szCs w:val="21"/>
        </w:rPr>
      </w:pPr>
      <w:r>
        <w:rPr>
          <w:rFonts w:ascii="游ゴシック" w:eastAsia="游ゴシック" w:hAnsi="游ゴシック" w:hint="eastAsia"/>
          <w:kern w:val="0"/>
          <w:szCs w:val="21"/>
        </w:rPr>
        <w:br w:type="page"/>
      </w:r>
    </w:p>
    <w:p w14:paraId="4B624A1D"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lastRenderedPageBreak/>
        <w:t>リース資産</w:t>
      </w:r>
    </w:p>
    <w:p w14:paraId="14C226A9" w14:textId="77777777" w:rsidR="00200E51" w:rsidRDefault="00200E51" w:rsidP="00200E51">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7751D8FD" w14:textId="77777777" w:rsidR="00200E51" w:rsidRDefault="00200E51" w:rsidP="00200E51">
      <w:pPr>
        <w:topLinePunct/>
        <w:ind w:firstLineChars="100" w:firstLine="210"/>
        <w:rPr>
          <w:rFonts w:ascii="游ゴシック" w:eastAsia="游ゴシック" w:hAnsi="游ゴシック"/>
          <w:szCs w:val="21"/>
        </w:rPr>
      </w:pPr>
    </w:p>
    <w:p w14:paraId="19FE5993"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引当金の計上基準及び算定方法</w:t>
      </w:r>
    </w:p>
    <w:p w14:paraId="4DBF1306"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投資損失引当金</w:t>
      </w:r>
    </w:p>
    <w:p w14:paraId="3649B6FB"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該当なし</w:t>
      </w:r>
    </w:p>
    <w:p w14:paraId="44FD80F1"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徴収不能引当金</w:t>
      </w:r>
    </w:p>
    <w:p w14:paraId="4C487B83"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過去5年間の平均不納欠損率により、徴収不能見込額を計上しています。</w:t>
      </w:r>
    </w:p>
    <w:p w14:paraId="13B721E4" w14:textId="77777777" w:rsidR="00200E51" w:rsidRDefault="00200E51" w:rsidP="00200E51">
      <w:pPr>
        <w:pStyle w:val="af0"/>
        <w:numPr>
          <w:ilvl w:val="0"/>
          <w:numId w:val="36"/>
        </w:numPr>
        <w:topLinePunct/>
        <w:ind w:leftChars="0"/>
        <w:rPr>
          <w:rFonts w:ascii="游ゴシック" w:eastAsia="游ゴシック" w:hAnsi="游ゴシック"/>
          <w:color w:val="FF0000"/>
          <w:kern w:val="0"/>
        </w:rPr>
      </w:pPr>
      <w:r>
        <w:rPr>
          <w:rFonts w:ascii="游ゴシック" w:eastAsia="游ゴシック" w:hAnsi="游ゴシック" w:hint="eastAsia"/>
          <w:szCs w:val="21"/>
        </w:rPr>
        <w:t>退職手当引当金</w:t>
      </w:r>
    </w:p>
    <w:p w14:paraId="739BDE60"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期末自己都合要支給額を計上しています。</w:t>
      </w:r>
    </w:p>
    <w:p w14:paraId="3DAEEBB5"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損失補償等引当金</w:t>
      </w:r>
    </w:p>
    <w:p w14:paraId="7A9548B4"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該当なし</w:t>
      </w:r>
    </w:p>
    <w:p w14:paraId="4C132C4F"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賞与等引当金</w:t>
      </w:r>
    </w:p>
    <w:p w14:paraId="1697A38D"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26A0B53" w14:textId="77777777" w:rsidR="00200E51" w:rsidRDefault="00200E51" w:rsidP="00200E51">
      <w:pPr>
        <w:topLinePunct/>
        <w:rPr>
          <w:rFonts w:ascii="游ゴシック" w:eastAsia="游ゴシック" w:hAnsi="游ゴシック"/>
          <w:b/>
          <w:szCs w:val="21"/>
        </w:rPr>
      </w:pPr>
    </w:p>
    <w:p w14:paraId="49414458"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リース取引の処理方法</w:t>
      </w:r>
    </w:p>
    <w:p w14:paraId="67E7D1F6" w14:textId="77777777" w:rsidR="00200E51" w:rsidRDefault="00200E51" w:rsidP="00200E51">
      <w:pPr>
        <w:pStyle w:val="af0"/>
        <w:topLinePunct/>
        <w:ind w:leftChars="0" w:left="630"/>
        <w:rPr>
          <w:rFonts w:ascii="游ゴシック" w:eastAsia="游ゴシック" w:hAnsi="游ゴシック"/>
          <w:bCs/>
          <w:szCs w:val="21"/>
        </w:rPr>
      </w:pPr>
      <w:r>
        <w:rPr>
          <w:rFonts w:ascii="游ゴシック" w:eastAsia="游ゴシック" w:hAnsi="游ゴシック" w:hint="eastAsia"/>
          <w:bCs/>
          <w:szCs w:val="21"/>
        </w:rPr>
        <w:t>該当なし</w:t>
      </w:r>
    </w:p>
    <w:p w14:paraId="436EBD15" w14:textId="77777777" w:rsidR="00200E51" w:rsidRDefault="00200E51" w:rsidP="00200E51">
      <w:pPr>
        <w:topLinePunct/>
        <w:ind w:firstLineChars="100" w:firstLine="210"/>
        <w:rPr>
          <w:rFonts w:ascii="游ゴシック" w:eastAsia="游ゴシック" w:hAnsi="游ゴシック"/>
          <w:szCs w:val="21"/>
        </w:rPr>
      </w:pPr>
    </w:p>
    <w:p w14:paraId="0A58ABFE"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資金収支計算書における資金の範囲</w:t>
      </w:r>
    </w:p>
    <w:p w14:paraId="06CAEF31" w14:textId="77777777" w:rsidR="00200E51" w:rsidRDefault="00200E51" w:rsidP="00200E51">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現金（手許現金及び要求払預金）及び現金同等物をいいます。</w:t>
      </w:r>
    </w:p>
    <w:p w14:paraId="3246DBF4" w14:textId="77777777" w:rsidR="00200E51" w:rsidRDefault="00200E51" w:rsidP="00200E51">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370FF79" w14:textId="77777777" w:rsidR="00200E51" w:rsidRDefault="00200E51" w:rsidP="00200E51">
      <w:pPr>
        <w:topLinePunct/>
        <w:rPr>
          <w:rFonts w:ascii="游ゴシック" w:eastAsia="游ゴシック" w:hAnsi="游ゴシック"/>
          <w:szCs w:val="21"/>
        </w:rPr>
      </w:pPr>
    </w:p>
    <w:p w14:paraId="0105AB03"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その他財務書類作成のための基本となる重要な事項</w:t>
      </w:r>
    </w:p>
    <w:p w14:paraId="517E54B3" w14:textId="77777777" w:rsidR="00200E51" w:rsidRDefault="00200E51" w:rsidP="00200E51">
      <w:pPr>
        <w:pStyle w:val="af0"/>
        <w:numPr>
          <w:ilvl w:val="0"/>
          <w:numId w:val="37"/>
        </w:numPr>
        <w:topLinePunct/>
        <w:ind w:leftChars="0"/>
        <w:rPr>
          <w:rFonts w:ascii="游ゴシック" w:eastAsia="游ゴシック" w:hAnsi="游ゴシック"/>
          <w:szCs w:val="21"/>
        </w:rPr>
      </w:pPr>
      <w:r>
        <w:rPr>
          <w:rFonts w:ascii="游ゴシック" w:eastAsia="游ゴシック" w:hAnsi="游ゴシック" w:hint="eastAsia"/>
          <w:szCs w:val="21"/>
        </w:rPr>
        <w:t>物品及びソフトウェアの計上基準</w:t>
      </w:r>
    </w:p>
    <w:p w14:paraId="76844339"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4B13D219" w14:textId="77777777" w:rsidR="00200E51" w:rsidRDefault="00200E51" w:rsidP="00200E51">
      <w:pPr>
        <w:topLinePunct/>
        <w:ind w:leftChars="200" w:left="420" w:firstLineChars="200" w:firstLine="420"/>
        <w:rPr>
          <w:rFonts w:ascii="游ゴシック" w:eastAsia="游ゴシック" w:hAnsi="游ゴシック"/>
          <w:szCs w:val="21"/>
        </w:rPr>
      </w:pPr>
      <w:r>
        <w:rPr>
          <w:rFonts w:ascii="游ゴシック" w:eastAsia="游ゴシック" w:hAnsi="游ゴシック" w:hint="eastAsia"/>
          <w:szCs w:val="21"/>
        </w:rPr>
        <w:t>ソフトウェアについても、物品の取扱いに準じます。</w:t>
      </w:r>
    </w:p>
    <w:p w14:paraId="526FF49A" w14:textId="77777777" w:rsidR="00200E51" w:rsidRDefault="00200E51" w:rsidP="00200E51">
      <w:pPr>
        <w:pStyle w:val="af0"/>
        <w:numPr>
          <w:ilvl w:val="0"/>
          <w:numId w:val="38"/>
        </w:numPr>
        <w:topLinePunct/>
        <w:ind w:leftChars="0"/>
        <w:rPr>
          <w:rFonts w:ascii="游ゴシック" w:eastAsia="游ゴシック" w:hAnsi="游ゴシック"/>
          <w:szCs w:val="21"/>
        </w:rPr>
      </w:pPr>
      <w:r>
        <w:rPr>
          <w:rFonts w:ascii="游ゴシック" w:eastAsia="游ゴシック" w:hAnsi="游ゴシック" w:hint="eastAsia"/>
          <w:szCs w:val="21"/>
        </w:rPr>
        <w:t>資本的支出と修繕費の区分基準</w:t>
      </w:r>
    </w:p>
    <w:p w14:paraId="2C07AAE3"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3D33925E" w14:textId="77777777" w:rsidR="00200E51" w:rsidRDefault="00200E51" w:rsidP="00200E51">
      <w:pPr>
        <w:topLinePunct/>
        <w:ind w:leftChars="300" w:left="630" w:firstLineChars="100" w:firstLine="210"/>
        <w:rPr>
          <w:rFonts w:ascii="游ゴシック" w:eastAsia="游ゴシック" w:hAnsi="游ゴシック"/>
          <w:szCs w:val="21"/>
        </w:rPr>
      </w:pPr>
    </w:p>
    <w:p w14:paraId="7E82FA0F" w14:textId="77777777" w:rsidR="00200E51" w:rsidRDefault="00200E51" w:rsidP="00200E51">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01C01075" w14:textId="13A060C6" w:rsidR="00200E51" w:rsidRDefault="00200E51" w:rsidP="00200E51">
      <w:pPr>
        <w:pStyle w:val="af0"/>
        <w:topLinePunct/>
        <w:ind w:leftChars="0" w:left="630"/>
        <w:rPr>
          <w:rFonts w:ascii="游ゴシック" w:eastAsia="游ゴシック" w:hAnsi="游ゴシック"/>
          <w:szCs w:val="21"/>
        </w:rPr>
      </w:pPr>
      <w:r w:rsidRPr="00354AD7">
        <w:rPr>
          <w:rFonts w:ascii="游ゴシック" w:eastAsia="游ゴシック" w:hAnsi="游ゴシック" w:hint="eastAsia"/>
          <w:szCs w:val="21"/>
        </w:rPr>
        <w:t>消費税等の会計処理は、税込方式によっています。</w:t>
      </w:r>
    </w:p>
    <w:p w14:paraId="75C6A919" w14:textId="3400DF45" w:rsidR="00200E51" w:rsidRPr="00200E51" w:rsidRDefault="00200E51" w:rsidP="00200E51">
      <w:pPr>
        <w:rPr>
          <w:rFonts w:ascii="游ゴシック" w:eastAsia="游ゴシック" w:hAnsi="游ゴシック" w:hint="eastAsia"/>
          <w:szCs w:val="21"/>
        </w:rPr>
      </w:pPr>
      <w:r>
        <w:rPr>
          <w:rFonts w:ascii="游ゴシック" w:eastAsia="游ゴシック" w:hAnsi="游ゴシック"/>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77777777" w:rsidR="003B284C"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52D0F2A7" w14:textId="77777777" w:rsidR="00200E51" w:rsidRDefault="00200E51" w:rsidP="00200E51">
      <w:pPr>
        <w:pStyle w:val="af0"/>
        <w:numPr>
          <w:ilvl w:val="0"/>
          <w:numId w:val="39"/>
        </w:numPr>
        <w:topLinePunct/>
        <w:ind w:leftChars="0"/>
        <w:rPr>
          <w:rFonts w:ascii="游ゴシック" w:eastAsia="游ゴシック" w:hAnsi="游ゴシック"/>
          <w:b/>
          <w:szCs w:val="21"/>
        </w:rPr>
      </w:pPr>
      <w:bookmarkStart w:id="1" w:name="_Hlk533138845"/>
      <w:r>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200E51" w14:paraId="414FA057" w14:textId="77777777" w:rsidTr="00B005F5">
        <w:trPr>
          <w:trHeight w:val="567"/>
        </w:trPr>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34F9DBF7"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団体（会計）名</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07870C3"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確定債務額</w:t>
            </w:r>
          </w:p>
        </w:tc>
        <w:tc>
          <w:tcPr>
            <w:tcW w:w="3946" w:type="dxa"/>
            <w:gridSpan w:val="2"/>
            <w:tcBorders>
              <w:top w:val="single" w:sz="4" w:space="0" w:color="auto"/>
              <w:left w:val="single" w:sz="4" w:space="0" w:color="auto"/>
              <w:bottom w:val="single" w:sz="4" w:space="0" w:color="auto"/>
              <w:right w:val="single" w:sz="4" w:space="0" w:color="auto"/>
            </w:tcBorders>
            <w:vAlign w:val="center"/>
            <w:hideMark/>
          </w:tcPr>
          <w:p w14:paraId="578AE778"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履行すべき額が確定していない</w:t>
            </w:r>
          </w:p>
          <w:p w14:paraId="06DEBF8A"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損失補償債務等</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A66B58D"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総額</w:t>
            </w:r>
          </w:p>
        </w:tc>
      </w:tr>
      <w:tr w:rsidR="00200E51" w14:paraId="6329694A" w14:textId="77777777" w:rsidTr="00B005F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6F356" w14:textId="77777777" w:rsidR="00200E51" w:rsidRDefault="00200E51" w:rsidP="00B005F5">
            <w:pPr>
              <w:spacing w:beforeAutospacing="1" w:afterAutospacing="1"/>
              <w:rPr>
                <w:rFonts w:ascii="游ゴシック" w:eastAsia="游ゴシック" w:hAnsi="游ゴシック"/>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1F9E4" w14:textId="77777777" w:rsidR="00200E51" w:rsidRDefault="00200E51" w:rsidP="00B005F5">
            <w:pPr>
              <w:spacing w:beforeAutospacing="1" w:afterAutospacing="1"/>
              <w:rPr>
                <w:rFonts w:ascii="游ゴシック" w:eastAsia="游ゴシック" w:hAnsi="游ゴシック"/>
                <w:bCs/>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648C7CE3"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損失補償等引当金</w:t>
            </w:r>
          </w:p>
          <w:p w14:paraId="7CA0013B"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計上額</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15C1C70"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貸借対照表</w:t>
            </w:r>
          </w:p>
          <w:p w14:paraId="65BBACA8"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B9D2B" w14:textId="77777777" w:rsidR="00200E51" w:rsidRDefault="00200E51" w:rsidP="00B005F5">
            <w:pPr>
              <w:spacing w:beforeAutospacing="1" w:afterAutospacing="1"/>
              <w:rPr>
                <w:rFonts w:ascii="游ゴシック" w:eastAsia="游ゴシック" w:hAnsi="游ゴシック"/>
                <w:bCs/>
                <w:szCs w:val="21"/>
              </w:rPr>
            </w:pPr>
          </w:p>
        </w:tc>
      </w:tr>
      <w:tr w:rsidR="00200E51" w14:paraId="49B9159D" w14:textId="77777777" w:rsidTr="00B005F5">
        <w:trPr>
          <w:trHeight w:val="283"/>
        </w:trPr>
        <w:tc>
          <w:tcPr>
            <w:tcW w:w="1850" w:type="dxa"/>
            <w:tcBorders>
              <w:top w:val="single" w:sz="4" w:space="0" w:color="auto"/>
              <w:left w:val="single" w:sz="4" w:space="0" w:color="auto"/>
              <w:bottom w:val="single" w:sz="4" w:space="0" w:color="auto"/>
              <w:right w:val="single" w:sz="4" w:space="0" w:color="auto"/>
            </w:tcBorders>
            <w:hideMark/>
          </w:tcPr>
          <w:p w14:paraId="46B920A9"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公営企業会計</w:t>
            </w:r>
          </w:p>
        </w:tc>
        <w:tc>
          <w:tcPr>
            <w:tcW w:w="1541" w:type="dxa"/>
            <w:tcBorders>
              <w:top w:val="single" w:sz="4" w:space="0" w:color="auto"/>
              <w:left w:val="single" w:sz="4" w:space="0" w:color="auto"/>
              <w:bottom w:val="single" w:sz="4" w:space="0" w:color="auto"/>
              <w:right w:val="single" w:sz="4" w:space="0" w:color="auto"/>
            </w:tcBorders>
            <w:hideMark/>
          </w:tcPr>
          <w:p w14:paraId="4726D8FF" w14:textId="77777777" w:rsidR="00200E51" w:rsidRDefault="00200E51" w:rsidP="00200E51">
            <w:pPr>
              <w:pStyle w:val="af0"/>
              <w:numPr>
                <w:ilvl w:val="0"/>
                <w:numId w:val="40"/>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385F942A" w14:textId="77777777" w:rsidR="00200E51" w:rsidRDefault="00200E51" w:rsidP="00200E51">
            <w:pPr>
              <w:pStyle w:val="af0"/>
              <w:numPr>
                <w:ilvl w:val="0"/>
                <w:numId w:val="40"/>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45C3EDD1"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816,091千円</w:t>
            </w:r>
          </w:p>
        </w:tc>
        <w:tc>
          <w:tcPr>
            <w:tcW w:w="1983" w:type="dxa"/>
            <w:tcBorders>
              <w:top w:val="single" w:sz="4" w:space="0" w:color="auto"/>
              <w:left w:val="single" w:sz="4" w:space="0" w:color="auto"/>
              <w:bottom w:val="single" w:sz="4" w:space="0" w:color="auto"/>
              <w:right w:val="single" w:sz="4" w:space="0" w:color="auto"/>
            </w:tcBorders>
            <w:hideMark/>
          </w:tcPr>
          <w:p w14:paraId="08874D9C"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816,091千円</w:t>
            </w:r>
          </w:p>
        </w:tc>
      </w:tr>
      <w:tr w:rsidR="00200E51" w14:paraId="2A7B027D" w14:textId="77777777" w:rsidTr="00B005F5">
        <w:trPr>
          <w:trHeight w:val="283"/>
        </w:trPr>
        <w:tc>
          <w:tcPr>
            <w:tcW w:w="1850" w:type="dxa"/>
            <w:tcBorders>
              <w:top w:val="single" w:sz="4" w:space="0" w:color="auto"/>
              <w:left w:val="single" w:sz="4" w:space="0" w:color="auto"/>
              <w:bottom w:val="single" w:sz="4" w:space="0" w:color="auto"/>
              <w:right w:val="single" w:sz="4" w:space="0" w:color="auto"/>
            </w:tcBorders>
            <w:hideMark/>
          </w:tcPr>
          <w:p w14:paraId="5C7F0DDC"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一部事務組合等</w:t>
            </w:r>
          </w:p>
        </w:tc>
        <w:tc>
          <w:tcPr>
            <w:tcW w:w="1541" w:type="dxa"/>
            <w:tcBorders>
              <w:top w:val="single" w:sz="4" w:space="0" w:color="auto"/>
              <w:left w:val="single" w:sz="4" w:space="0" w:color="auto"/>
              <w:bottom w:val="single" w:sz="4" w:space="0" w:color="auto"/>
              <w:right w:val="single" w:sz="4" w:space="0" w:color="auto"/>
            </w:tcBorders>
            <w:hideMark/>
          </w:tcPr>
          <w:p w14:paraId="1143AB5C" w14:textId="77777777" w:rsidR="00200E51" w:rsidRDefault="00200E51" w:rsidP="00200E51">
            <w:pPr>
              <w:pStyle w:val="af0"/>
              <w:numPr>
                <w:ilvl w:val="0"/>
                <w:numId w:val="40"/>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6C119441" w14:textId="77777777" w:rsidR="00200E51" w:rsidRDefault="00200E51" w:rsidP="00200E51">
            <w:pPr>
              <w:pStyle w:val="af0"/>
              <w:numPr>
                <w:ilvl w:val="0"/>
                <w:numId w:val="40"/>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7971656A"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96,475千円</w:t>
            </w:r>
          </w:p>
        </w:tc>
        <w:tc>
          <w:tcPr>
            <w:tcW w:w="1983" w:type="dxa"/>
            <w:tcBorders>
              <w:top w:val="single" w:sz="4" w:space="0" w:color="auto"/>
              <w:left w:val="single" w:sz="4" w:space="0" w:color="auto"/>
              <w:bottom w:val="single" w:sz="4" w:space="0" w:color="auto"/>
              <w:right w:val="single" w:sz="4" w:space="0" w:color="auto"/>
            </w:tcBorders>
            <w:hideMark/>
          </w:tcPr>
          <w:p w14:paraId="0E4C919E"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96,475千円</w:t>
            </w:r>
          </w:p>
        </w:tc>
      </w:tr>
      <w:tr w:rsidR="00200E51" w14:paraId="6E2B4BA4" w14:textId="77777777" w:rsidTr="00B005F5">
        <w:trPr>
          <w:trHeight w:val="283"/>
        </w:trPr>
        <w:tc>
          <w:tcPr>
            <w:tcW w:w="1850" w:type="dxa"/>
            <w:tcBorders>
              <w:top w:val="single" w:sz="4" w:space="0" w:color="auto"/>
              <w:left w:val="single" w:sz="4" w:space="0" w:color="auto"/>
              <w:bottom w:val="single" w:sz="4" w:space="0" w:color="auto"/>
              <w:right w:val="single" w:sz="4" w:space="0" w:color="auto"/>
            </w:tcBorders>
            <w:hideMark/>
          </w:tcPr>
          <w:p w14:paraId="4C1B2FB4" w14:textId="77777777" w:rsidR="00200E51" w:rsidRDefault="00200E51" w:rsidP="00B005F5">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w:t>
            </w:r>
          </w:p>
        </w:tc>
        <w:tc>
          <w:tcPr>
            <w:tcW w:w="1541" w:type="dxa"/>
            <w:tcBorders>
              <w:top w:val="single" w:sz="4" w:space="0" w:color="auto"/>
              <w:left w:val="single" w:sz="4" w:space="0" w:color="auto"/>
              <w:bottom w:val="single" w:sz="4" w:space="0" w:color="auto"/>
              <w:right w:val="single" w:sz="4" w:space="0" w:color="auto"/>
            </w:tcBorders>
            <w:hideMark/>
          </w:tcPr>
          <w:p w14:paraId="4A01F25E" w14:textId="77777777" w:rsidR="00200E51" w:rsidRDefault="00200E51" w:rsidP="00200E51">
            <w:pPr>
              <w:pStyle w:val="af0"/>
              <w:numPr>
                <w:ilvl w:val="0"/>
                <w:numId w:val="40"/>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47BBE228" w14:textId="77777777" w:rsidR="00200E51" w:rsidRDefault="00200E51" w:rsidP="00200E51">
            <w:pPr>
              <w:pStyle w:val="af0"/>
              <w:numPr>
                <w:ilvl w:val="0"/>
                <w:numId w:val="40"/>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0DDFE27D"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912,566千円</w:t>
            </w:r>
          </w:p>
        </w:tc>
        <w:tc>
          <w:tcPr>
            <w:tcW w:w="1983" w:type="dxa"/>
            <w:tcBorders>
              <w:top w:val="single" w:sz="4" w:space="0" w:color="auto"/>
              <w:left w:val="single" w:sz="4" w:space="0" w:color="auto"/>
              <w:bottom w:val="single" w:sz="4" w:space="0" w:color="auto"/>
              <w:right w:val="single" w:sz="4" w:space="0" w:color="auto"/>
            </w:tcBorders>
            <w:hideMark/>
          </w:tcPr>
          <w:p w14:paraId="61009399" w14:textId="77777777" w:rsidR="00200E51" w:rsidRDefault="00200E51" w:rsidP="00B005F5">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912,566千円</w:t>
            </w:r>
          </w:p>
        </w:tc>
      </w:tr>
    </w:tbl>
    <w:p w14:paraId="0E01C479" w14:textId="77777777" w:rsidR="00200E51" w:rsidRDefault="00200E51" w:rsidP="00200E51">
      <w:pPr>
        <w:pStyle w:val="af0"/>
        <w:topLinePunct/>
        <w:ind w:leftChars="0" w:left="630"/>
        <w:rPr>
          <w:rFonts w:ascii="游ゴシック" w:eastAsia="游ゴシック" w:hAnsi="游ゴシック"/>
          <w:b/>
          <w:bCs/>
          <w:szCs w:val="21"/>
        </w:rPr>
      </w:pPr>
    </w:p>
    <w:p w14:paraId="74DB0D07" w14:textId="77777777" w:rsidR="00200E51" w:rsidRDefault="00200E51" w:rsidP="00200E51">
      <w:pPr>
        <w:pStyle w:val="af0"/>
        <w:numPr>
          <w:ilvl w:val="0"/>
          <w:numId w:val="39"/>
        </w:numPr>
        <w:topLinePunct/>
        <w:ind w:leftChars="0"/>
        <w:rPr>
          <w:rFonts w:ascii="游ゴシック" w:eastAsia="游ゴシック" w:hAnsi="游ゴシック"/>
          <w:b/>
          <w:bCs/>
          <w:szCs w:val="21"/>
        </w:rPr>
      </w:pPr>
      <w:r>
        <w:rPr>
          <w:rFonts w:ascii="游ゴシック" w:eastAsia="游ゴシック" w:hAnsi="游ゴシック" w:hint="eastAsia"/>
          <w:b/>
          <w:bCs/>
          <w:szCs w:val="21"/>
        </w:rPr>
        <w:t>係争中の訴訟等</w:t>
      </w:r>
    </w:p>
    <w:p w14:paraId="128FB2CB" w14:textId="77777777" w:rsidR="00200E51" w:rsidRDefault="00200E51" w:rsidP="00200E51">
      <w:pPr>
        <w:topLinePunct/>
        <w:ind w:firstLineChars="200" w:firstLine="420"/>
        <w:rPr>
          <w:rFonts w:ascii="游ゴシック" w:eastAsia="游ゴシック" w:hAnsi="游ゴシック"/>
          <w:szCs w:val="21"/>
        </w:rPr>
      </w:pPr>
      <w:r>
        <w:rPr>
          <w:rFonts w:ascii="游ゴシック" w:eastAsia="游ゴシック" w:hAnsi="游ゴシック" w:hint="eastAsia"/>
          <w:szCs w:val="21"/>
        </w:rPr>
        <w:t>該当なし</w:t>
      </w:r>
      <w:bookmarkEnd w:id="1"/>
    </w:p>
    <w:p w14:paraId="4553AA23" w14:textId="09A606BA" w:rsidR="00200E51" w:rsidRDefault="00200E51">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10A0F24B" w14:textId="77777777" w:rsidR="00200E51" w:rsidRPr="00355FFA" w:rsidRDefault="00200E51" w:rsidP="00200E5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097BEF8E" w14:textId="77777777" w:rsidR="00200E51" w:rsidRPr="00355FFA" w:rsidRDefault="00200E51" w:rsidP="00200E5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9148" w:type="dxa"/>
        <w:tblInd w:w="562" w:type="dxa"/>
        <w:tblLook w:val="04A0" w:firstRow="1" w:lastRow="0" w:firstColumn="1" w:lastColumn="0" w:noHBand="0" w:noVBand="1"/>
      </w:tblPr>
      <w:tblGrid>
        <w:gridCol w:w="1852"/>
        <w:gridCol w:w="4669"/>
        <w:gridCol w:w="2627"/>
      </w:tblGrid>
      <w:tr w:rsidR="00200E51" w:rsidRPr="00200E51" w14:paraId="71BF0F2F" w14:textId="77777777" w:rsidTr="00200E51">
        <w:trPr>
          <w:trHeight w:val="263"/>
        </w:trPr>
        <w:tc>
          <w:tcPr>
            <w:tcW w:w="1852" w:type="dxa"/>
          </w:tcPr>
          <w:p w14:paraId="72A1D8EC"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範囲</w:t>
            </w:r>
          </w:p>
        </w:tc>
        <w:tc>
          <w:tcPr>
            <w:tcW w:w="4669" w:type="dxa"/>
          </w:tcPr>
          <w:p w14:paraId="460BDABB"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会計名</w:t>
            </w:r>
          </w:p>
        </w:tc>
        <w:tc>
          <w:tcPr>
            <w:tcW w:w="2627" w:type="dxa"/>
          </w:tcPr>
          <w:p w14:paraId="4FD321A8"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区分</w:t>
            </w:r>
          </w:p>
        </w:tc>
      </w:tr>
      <w:tr w:rsidR="00200E51" w:rsidRPr="00200E51" w14:paraId="025AA35F" w14:textId="77777777" w:rsidTr="00200E51">
        <w:trPr>
          <w:trHeight w:val="253"/>
        </w:trPr>
        <w:tc>
          <w:tcPr>
            <w:tcW w:w="1852" w:type="dxa"/>
          </w:tcPr>
          <w:p w14:paraId="49B66028"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一般会計等</w:t>
            </w:r>
          </w:p>
        </w:tc>
        <w:tc>
          <w:tcPr>
            <w:tcW w:w="4669" w:type="dxa"/>
          </w:tcPr>
          <w:p w14:paraId="7493AF8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w:t>
            </w:r>
          </w:p>
        </w:tc>
        <w:tc>
          <w:tcPr>
            <w:tcW w:w="2627" w:type="dxa"/>
          </w:tcPr>
          <w:p w14:paraId="60C1B571" w14:textId="77777777" w:rsidR="00200E51" w:rsidRPr="00200E51" w:rsidRDefault="00200E51" w:rsidP="00B005F5">
            <w:pPr>
              <w:topLinePunct/>
              <w:rPr>
                <w:rFonts w:ascii="游ゴシック" w:eastAsia="游ゴシック" w:hAnsi="游ゴシック"/>
                <w:szCs w:val="21"/>
              </w:rPr>
            </w:pPr>
          </w:p>
        </w:tc>
      </w:tr>
      <w:tr w:rsidR="00200E51" w:rsidRPr="00200E51" w14:paraId="594A1F98" w14:textId="77777777" w:rsidTr="00200E51">
        <w:trPr>
          <w:trHeight w:val="263"/>
        </w:trPr>
        <w:tc>
          <w:tcPr>
            <w:tcW w:w="1852" w:type="dxa"/>
          </w:tcPr>
          <w:p w14:paraId="6A3A158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一般会計等</w:t>
            </w:r>
          </w:p>
        </w:tc>
        <w:tc>
          <w:tcPr>
            <w:tcW w:w="4669" w:type="dxa"/>
          </w:tcPr>
          <w:p w14:paraId="5158C7B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kern w:val="0"/>
                <w:szCs w:val="21"/>
              </w:rPr>
              <w:t>基幹水利施設管理特別会計</w:t>
            </w:r>
          </w:p>
        </w:tc>
        <w:tc>
          <w:tcPr>
            <w:tcW w:w="2627" w:type="dxa"/>
          </w:tcPr>
          <w:p w14:paraId="55F2A8F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079B4C5C" w14:textId="77777777" w:rsidTr="00200E51">
        <w:trPr>
          <w:trHeight w:val="263"/>
        </w:trPr>
        <w:tc>
          <w:tcPr>
            <w:tcW w:w="1852" w:type="dxa"/>
          </w:tcPr>
          <w:p w14:paraId="0BAAE5B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363B224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簡易水道特別会計</w:t>
            </w:r>
          </w:p>
        </w:tc>
        <w:tc>
          <w:tcPr>
            <w:tcW w:w="2627" w:type="dxa"/>
          </w:tcPr>
          <w:p w14:paraId="159EC940"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6D2E5FF1" w14:textId="77777777" w:rsidTr="00200E51">
        <w:trPr>
          <w:trHeight w:val="263"/>
        </w:trPr>
        <w:tc>
          <w:tcPr>
            <w:tcW w:w="1852" w:type="dxa"/>
          </w:tcPr>
          <w:p w14:paraId="6BCD0A0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3407DAD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下水道事業特別会計</w:t>
            </w:r>
          </w:p>
        </w:tc>
        <w:tc>
          <w:tcPr>
            <w:tcW w:w="2627" w:type="dxa"/>
          </w:tcPr>
          <w:p w14:paraId="2C63011C"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2598DD64" w14:textId="77777777" w:rsidTr="00200E51">
        <w:trPr>
          <w:trHeight w:val="253"/>
        </w:trPr>
        <w:tc>
          <w:tcPr>
            <w:tcW w:w="1852" w:type="dxa"/>
          </w:tcPr>
          <w:p w14:paraId="27239969"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1BC12A89"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国民健康保険（事業勘定）特別会計</w:t>
            </w:r>
          </w:p>
        </w:tc>
        <w:tc>
          <w:tcPr>
            <w:tcW w:w="2627" w:type="dxa"/>
          </w:tcPr>
          <w:p w14:paraId="5C8997FE"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170F59CD" w14:textId="77777777" w:rsidTr="00200E51">
        <w:trPr>
          <w:trHeight w:val="263"/>
        </w:trPr>
        <w:tc>
          <w:tcPr>
            <w:tcW w:w="1852" w:type="dxa"/>
          </w:tcPr>
          <w:p w14:paraId="7472114D"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570EBE38"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国民健康保険（診療施設勘定）特別会計</w:t>
            </w:r>
          </w:p>
        </w:tc>
        <w:tc>
          <w:tcPr>
            <w:tcW w:w="2627" w:type="dxa"/>
          </w:tcPr>
          <w:p w14:paraId="6BA43EE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217D4D11" w14:textId="77777777" w:rsidTr="00200E51">
        <w:trPr>
          <w:trHeight w:val="263"/>
        </w:trPr>
        <w:tc>
          <w:tcPr>
            <w:tcW w:w="1852" w:type="dxa"/>
          </w:tcPr>
          <w:p w14:paraId="42F4D46E"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45865A53"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介護保険（保険事業勘定）特別会計</w:t>
            </w:r>
          </w:p>
        </w:tc>
        <w:tc>
          <w:tcPr>
            <w:tcW w:w="2627" w:type="dxa"/>
          </w:tcPr>
          <w:p w14:paraId="4E43FE3D"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7FFA9E6B" w14:textId="77777777" w:rsidTr="00200E51">
        <w:trPr>
          <w:trHeight w:val="263"/>
        </w:trPr>
        <w:tc>
          <w:tcPr>
            <w:tcW w:w="1852" w:type="dxa"/>
          </w:tcPr>
          <w:p w14:paraId="5F02560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77AAFDA4"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後期高齢者医療特別会計</w:t>
            </w:r>
          </w:p>
        </w:tc>
        <w:tc>
          <w:tcPr>
            <w:tcW w:w="2627" w:type="dxa"/>
          </w:tcPr>
          <w:p w14:paraId="75D17822"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4F4EB76C" w14:textId="77777777" w:rsidTr="00200E51">
        <w:trPr>
          <w:trHeight w:val="253"/>
        </w:trPr>
        <w:tc>
          <w:tcPr>
            <w:tcW w:w="1852" w:type="dxa"/>
          </w:tcPr>
          <w:p w14:paraId="4C9C68A1"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2766C8C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介護保険（介護サービス事業勘定）特別会計</w:t>
            </w:r>
          </w:p>
        </w:tc>
        <w:tc>
          <w:tcPr>
            <w:tcW w:w="2627" w:type="dxa"/>
          </w:tcPr>
          <w:p w14:paraId="2D311711"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3F874195" w14:textId="77777777" w:rsidTr="00200E51">
        <w:trPr>
          <w:trHeight w:val="253"/>
        </w:trPr>
        <w:tc>
          <w:tcPr>
            <w:tcW w:w="1852" w:type="dxa"/>
          </w:tcPr>
          <w:p w14:paraId="3ED9ED9F" w14:textId="0FBFAF72"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497DC2A1" w14:textId="7FD8FF81"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奈良県市町村総合事務組合</w:t>
            </w:r>
          </w:p>
        </w:tc>
        <w:tc>
          <w:tcPr>
            <w:tcW w:w="2627" w:type="dxa"/>
          </w:tcPr>
          <w:p w14:paraId="78A07A78" w14:textId="2314741E"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5BF4D138" w14:textId="77777777" w:rsidTr="00200E51">
        <w:trPr>
          <w:trHeight w:val="253"/>
        </w:trPr>
        <w:tc>
          <w:tcPr>
            <w:tcW w:w="1852" w:type="dxa"/>
          </w:tcPr>
          <w:p w14:paraId="778145B1" w14:textId="20177956"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355B9ACD" w14:textId="42CEEC14"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山辺環境衛生組合</w:t>
            </w:r>
          </w:p>
        </w:tc>
        <w:tc>
          <w:tcPr>
            <w:tcW w:w="2627" w:type="dxa"/>
          </w:tcPr>
          <w:p w14:paraId="164E7BEC" w14:textId="22DF9F00"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5CB2F19F" w14:textId="77777777" w:rsidTr="00200E51">
        <w:trPr>
          <w:trHeight w:val="253"/>
        </w:trPr>
        <w:tc>
          <w:tcPr>
            <w:tcW w:w="1852" w:type="dxa"/>
          </w:tcPr>
          <w:p w14:paraId="3F51183E" w14:textId="3F96A81E"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251BD0E7" w14:textId="17438A9E"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奈良県広域消防組合</w:t>
            </w:r>
          </w:p>
        </w:tc>
        <w:tc>
          <w:tcPr>
            <w:tcW w:w="2627" w:type="dxa"/>
          </w:tcPr>
          <w:p w14:paraId="3729E13F" w14:textId="77E3938B"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61D8C3AD" w14:textId="77777777" w:rsidTr="00200E51">
        <w:trPr>
          <w:trHeight w:val="253"/>
        </w:trPr>
        <w:tc>
          <w:tcPr>
            <w:tcW w:w="1852" w:type="dxa"/>
          </w:tcPr>
          <w:p w14:paraId="03DF8A2F" w14:textId="11BC5281"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31C4E965" w14:textId="15299097"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奈良広域水質検査センター組合</w:t>
            </w:r>
          </w:p>
        </w:tc>
        <w:tc>
          <w:tcPr>
            <w:tcW w:w="2627" w:type="dxa"/>
          </w:tcPr>
          <w:p w14:paraId="6A3A83A2" w14:textId="70A045D0"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3502C418" w14:textId="77777777" w:rsidTr="00200E51">
        <w:trPr>
          <w:trHeight w:val="253"/>
        </w:trPr>
        <w:tc>
          <w:tcPr>
            <w:tcW w:w="1852" w:type="dxa"/>
          </w:tcPr>
          <w:p w14:paraId="4DE9E77A" w14:textId="00B5DCE8"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21622104" w14:textId="769CA561"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奈良県住宅新築資金等貸付金回収管理組合</w:t>
            </w:r>
          </w:p>
        </w:tc>
        <w:tc>
          <w:tcPr>
            <w:tcW w:w="2627" w:type="dxa"/>
          </w:tcPr>
          <w:p w14:paraId="4C996D4B" w14:textId="4FA32264"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5A321F73" w14:textId="77777777" w:rsidTr="00200E51">
        <w:trPr>
          <w:trHeight w:val="253"/>
        </w:trPr>
        <w:tc>
          <w:tcPr>
            <w:tcW w:w="1852" w:type="dxa"/>
          </w:tcPr>
          <w:p w14:paraId="62921CB4" w14:textId="5BE8730A"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1A64006E" w14:textId="728160BD"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奈良県後期高齢者医療広域連合</w:t>
            </w:r>
          </w:p>
        </w:tc>
        <w:tc>
          <w:tcPr>
            <w:tcW w:w="2627" w:type="dxa"/>
          </w:tcPr>
          <w:p w14:paraId="09714A0A" w14:textId="406B2A79"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r w:rsidR="00200E51" w:rsidRPr="00200E51" w14:paraId="401F1C52" w14:textId="77777777" w:rsidTr="00200E51">
        <w:trPr>
          <w:trHeight w:val="253"/>
        </w:trPr>
        <w:tc>
          <w:tcPr>
            <w:tcW w:w="1852" w:type="dxa"/>
          </w:tcPr>
          <w:p w14:paraId="295EA1D2" w14:textId="7F9240C3" w:rsidR="00200E51" w:rsidRPr="00200E51" w:rsidRDefault="00200E51" w:rsidP="00200E51">
            <w:pPr>
              <w:topLinePunct/>
              <w:rPr>
                <w:rFonts w:ascii="游ゴシック" w:eastAsia="游ゴシック" w:hAnsi="游ゴシック" w:hint="eastAsia"/>
                <w:szCs w:val="21"/>
              </w:rPr>
            </w:pPr>
            <w:r>
              <w:rPr>
                <w:rFonts w:ascii="游ゴシック" w:eastAsia="游ゴシック" w:hAnsi="游ゴシック" w:hint="eastAsia"/>
                <w:szCs w:val="21"/>
              </w:rPr>
              <w:t>連結会計</w:t>
            </w:r>
          </w:p>
        </w:tc>
        <w:tc>
          <w:tcPr>
            <w:tcW w:w="4669" w:type="dxa"/>
          </w:tcPr>
          <w:p w14:paraId="2E72B6C7" w14:textId="68691F14"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rPr>
              <w:t>山辺・県北西部広域環境衛生組合</w:t>
            </w:r>
          </w:p>
        </w:tc>
        <w:tc>
          <w:tcPr>
            <w:tcW w:w="2627" w:type="dxa"/>
          </w:tcPr>
          <w:p w14:paraId="01DAC0B2" w14:textId="6A493D1F" w:rsidR="00200E51" w:rsidRPr="00200E51" w:rsidRDefault="00200E51" w:rsidP="00200E51">
            <w:pPr>
              <w:topLinePunct/>
              <w:rPr>
                <w:rFonts w:ascii="游ゴシック" w:eastAsia="游ゴシック" w:hAnsi="游ゴシック" w:hint="eastAsia"/>
                <w:szCs w:val="21"/>
              </w:rPr>
            </w:pPr>
            <w:r w:rsidRPr="00200E51">
              <w:rPr>
                <w:rFonts w:ascii="游ゴシック" w:eastAsia="游ゴシック" w:hAnsi="游ゴシック" w:hint="eastAsia"/>
                <w:szCs w:val="21"/>
              </w:rPr>
              <w:t>一部事務組合・広域連合</w:t>
            </w:r>
          </w:p>
        </w:tc>
      </w:tr>
    </w:tbl>
    <w:p w14:paraId="49E403E5" w14:textId="77777777" w:rsidR="00200E51" w:rsidRPr="00200E51" w:rsidRDefault="00200E51" w:rsidP="00200E51">
      <w:pPr>
        <w:pStyle w:val="af0"/>
        <w:numPr>
          <w:ilvl w:val="0"/>
          <w:numId w:val="5"/>
        </w:numPr>
        <w:topLinePunct/>
        <w:ind w:leftChars="0"/>
        <w:rPr>
          <w:rFonts w:ascii="游ゴシック" w:eastAsia="游ゴシック" w:hAnsi="游ゴシック" w:hint="eastAsia"/>
          <w:szCs w:val="21"/>
        </w:rPr>
      </w:pPr>
      <w:r w:rsidRPr="00200E51">
        <w:rPr>
          <w:rFonts w:ascii="游ゴシック" w:eastAsia="游ゴシック" w:hAnsi="游ゴシック" w:hint="eastAsia"/>
          <w:szCs w:val="21"/>
        </w:rPr>
        <w:t>地方自治法第235条の5に基づき出納整理期間が設けられている会計においては、出納整理期間における現金の受払い等を終了した後の計数をもって会計年度末の計数としています。</w:t>
      </w:r>
    </w:p>
    <w:p w14:paraId="4B7632AB" w14:textId="6FA1BC5F" w:rsidR="00200E51" w:rsidRDefault="00200E51" w:rsidP="00200E51">
      <w:pPr>
        <w:pStyle w:val="af0"/>
        <w:topLinePunct/>
        <w:ind w:leftChars="0" w:firstLineChars="100" w:firstLine="210"/>
        <w:rPr>
          <w:rFonts w:ascii="游ゴシック" w:eastAsia="游ゴシック" w:hAnsi="游ゴシック"/>
          <w:szCs w:val="21"/>
        </w:rPr>
      </w:pPr>
      <w:r w:rsidRPr="00200E51">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4FB25254" w14:textId="77777777" w:rsidR="00200E51" w:rsidRDefault="00200E51" w:rsidP="00200E51">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sectPr w:rsidR="00200E51"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1"/>
  </w:num>
  <w:num w:numId="2">
    <w:abstractNumId w:val="21"/>
  </w:num>
  <w:num w:numId="3">
    <w:abstractNumId w:val="26"/>
  </w:num>
  <w:num w:numId="4">
    <w:abstractNumId w:val="4"/>
  </w:num>
  <w:num w:numId="5">
    <w:abstractNumId w:val="9"/>
  </w:num>
  <w:num w:numId="6">
    <w:abstractNumId w:val="20"/>
  </w:num>
  <w:num w:numId="7">
    <w:abstractNumId w:val="13"/>
  </w:num>
  <w:num w:numId="8">
    <w:abstractNumId w:val="22"/>
  </w:num>
  <w:num w:numId="9">
    <w:abstractNumId w:val="3"/>
  </w:num>
  <w:num w:numId="10">
    <w:abstractNumId w:val="19"/>
  </w:num>
  <w:num w:numId="11">
    <w:abstractNumId w:val="30"/>
  </w:num>
  <w:num w:numId="12">
    <w:abstractNumId w:val="12"/>
  </w:num>
  <w:num w:numId="13">
    <w:abstractNumId w:val="17"/>
  </w:num>
  <w:num w:numId="14">
    <w:abstractNumId w:val="8"/>
  </w:num>
  <w:num w:numId="15">
    <w:abstractNumId w:val="24"/>
  </w:num>
  <w:num w:numId="16">
    <w:abstractNumId w:val="18"/>
  </w:num>
  <w:num w:numId="17">
    <w:abstractNumId w:val="7"/>
  </w:num>
  <w:num w:numId="18">
    <w:abstractNumId w:val="25"/>
  </w:num>
  <w:num w:numId="19">
    <w:abstractNumId w:val="2"/>
  </w:num>
  <w:num w:numId="20">
    <w:abstractNumId w:val="15"/>
  </w:num>
  <w:num w:numId="21">
    <w:abstractNumId w:val="14"/>
  </w:num>
  <w:num w:numId="22">
    <w:abstractNumId w:val="0"/>
  </w:num>
  <w:num w:numId="23">
    <w:abstractNumId w:val="28"/>
  </w:num>
  <w:num w:numId="24">
    <w:abstractNumId w:val="6"/>
  </w:num>
  <w:num w:numId="25">
    <w:abstractNumId w:val="27"/>
  </w:num>
  <w:num w:numId="26">
    <w:abstractNumId w:val="16"/>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0E51"/>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206</cp:revision>
  <cp:lastPrinted>2018-04-03T01:12:00Z</cp:lastPrinted>
  <dcterms:created xsi:type="dcterms:W3CDTF">2018-12-10T13:41:00Z</dcterms:created>
  <dcterms:modified xsi:type="dcterms:W3CDTF">2022-02-17T00:09:00Z</dcterms:modified>
</cp:coreProperties>
</file>